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XBJ25420142488133827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武汉东湖新技术开发区鑫悦洋商贸商行销售的新疆嚼酸奶蓝莓燕麦风味发酵乳</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2025年6月30日抽自</w:t>
      </w:r>
      <w:r>
        <w:rPr>
          <w:rFonts w:hint="eastAsia" w:eastAsia="仿宋_GB2312"/>
          <w:b w:val="0"/>
          <w:bCs w:val="0"/>
          <w:sz w:val="32"/>
          <w:szCs w:val="32"/>
          <w:lang w:val="en-US" w:eastAsia="zh-CN"/>
        </w:rPr>
        <w:t>武汉东湖新技术开发区鑫悦洋商贸商行销售的新疆嚼酸奶</w:t>
      </w:r>
      <w:r>
        <w:rPr>
          <w:rFonts w:hint="eastAsia" w:eastAsia="仿宋_GB2312"/>
          <w:sz w:val="32"/>
          <w:szCs w:val="32"/>
          <w:lang w:val="en-US" w:eastAsia="zh-CN"/>
        </w:rPr>
        <w:t>蓝莓燕麦风味发酵乳，</w:t>
      </w:r>
      <w:r>
        <w:rPr>
          <w:rFonts w:hint="eastAsia" w:eastAsia="仿宋_GB2312"/>
          <w:sz w:val="32"/>
          <w:szCs w:val="32"/>
          <w:lang w:eastAsia="zh-CN"/>
        </w:rPr>
        <w:t>酸度项目不符合GB 19302-2010《食品安全国家标准 发酵乳》要求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酸度不符合食品安全国家标准的新疆嚼酸奶蓝莓燕麦风味发酵乳的行为违反了《中华人民共和国食品安全法》第三十四条第一款第十三项“禁止生产经营下列食品、食品添加剂、食品相关产品：（十三）其他不符合法律、法规或者食品安全标准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采购该批次新疆嚼酸奶蓝莓燕麦风味发酵乳时履行了进货查验义务，有充分证据证明其不知道所采购的新疆嚼酸奶蓝莓燕麦风味发酵乳不符合食品安全标准，案发后积极配合调查，主动提供进货凭证、整改报告等证据材料，能够如实说明进货来源，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酸度不符合食品安全国家标准的新疆嚼酸奶蓝莓燕麦风味发酵乳的行为，违反了《中华人民共和国食品安全法》第三十四条第一款第十三项的规定，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一是组织员工培训，学习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w:t>
      </w:r>
      <w:r>
        <w:rPr>
          <w:rFonts w:hint="eastAsia" w:eastAsia="仿宋_GB2312" w:cs="Times New Roman"/>
          <w:b w:val="0"/>
          <w:bCs w:val="0"/>
          <w:sz w:val="32"/>
          <w:szCs w:val="32"/>
          <w:lang w:val="en-US" w:eastAsia="zh-CN"/>
        </w:rPr>
        <w:t>加强供应商管理，要求所有供应商提供相关资质、检测合格证明等材料，确保源头可溯，确保符合相关规范。</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sz w:val="32"/>
          <w:szCs w:val="32"/>
          <w:lang w:val="en-US" w:eastAsia="zh-CN"/>
        </w:rPr>
      </w:pPr>
      <w:bookmarkStart w:id="0" w:name="_GoBack"/>
      <w:bookmarkEnd w:id="0"/>
      <w:r>
        <w:rPr>
          <w:rFonts w:hint="eastAsia" w:ascii="楷体" w:hAnsi="楷体" w:eastAsia="楷体" w:cs="楷体"/>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2025-10-16T07:37:12Z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